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119"/>
        <w:jc w:val="center"/>
        <w:rPr>
          <w:rFonts w:ascii="Calibri" w:cs="Calibri" w:eastAsia="Calibri" w:hAnsi="Calibri"/>
          <w:highlight w:val="white"/>
        </w:rPr>
      </w:pPr>
      <w:bookmarkStart w:colFirst="0" w:colLast="0" w:name="_17dp8vu" w:id="1"/>
      <w:bookmarkEnd w:id="1"/>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3">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Newfoundland</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Specifically, we will ensure that it adheres to the provisions established for the following public holidays in Newfoundland and Labrador.</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7">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Memorial Day (Canada Day)</w:t>
      </w:r>
    </w:p>
    <w:p w:rsidR="00000000" w:rsidDel="00000000" w:rsidP="00000000" w:rsidRDefault="00000000" w:rsidRPr="00000000" w14:paraId="00000009">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A">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B">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employees who are entitled to take these days off from work will be paid the appropriate public holiday pay. Employees are entitled to the days when they have worked for [Organization Name] for at least 30 days. </w:t>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twice their regular wage rate for each hour worked on a paid public holiday, or</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day off with pay within 30 days, or</w:t>
      </w:r>
    </w:p>
    <w:p w:rsidR="00000000" w:rsidDel="00000000" w:rsidP="00000000" w:rsidRDefault="00000000" w:rsidRPr="00000000" w14:paraId="0000001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vacation day. </w:t>
      </w:r>
    </w:p>
    <w:p w:rsidR="00000000" w:rsidDel="00000000" w:rsidP="00000000" w:rsidRDefault="00000000" w:rsidRPr="00000000" w14:paraId="00000015">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Non-Working Day</w:t>
      </w:r>
    </w:p>
    <w:p w:rsidR="00000000" w:rsidDel="00000000" w:rsidP="00000000" w:rsidRDefault="00000000" w:rsidRPr="00000000" w14:paraId="00000016">
      <w:pPr>
        <w:shd w:fill="ffffff" w:val="clea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shall not be required to work either on the first working day immediately after the public holiday or another day mutually agreed to by the employee and [Organization Name] and this day shall be a paid day for the employee.</w:t>
      </w:r>
    </w:p>
    <w:p w:rsidR="00000000" w:rsidDel="00000000" w:rsidP="00000000" w:rsidRDefault="00000000" w:rsidRPr="00000000" w14:paraId="00000017">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establish the rate at which the employee must be paid requires multiplying the employee’s hourly rate of pay by the average number of hours worked in a day by the employee in the 3 weeks immediately preceding the holiday.</w:t>
      </w:r>
    </w:p>
    <w:p w:rsidR="00000000" w:rsidDel="00000000" w:rsidP="00000000" w:rsidRDefault="00000000" w:rsidRPr="00000000" w14:paraId="0000001B">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Note: illness or emergency are reasonable causes for absence.</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